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7E15DA8F" w:rsidR="00901E7B" w:rsidRPr="00DE3B22" w:rsidRDefault="009F3CFD" w:rsidP="004F32EF">
      <w:pPr>
        <w:spacing w:after="0"/>
        <w:jc w:val="center"/>
        <w:rPr>
          <w:rFonts w:ascii="Exo 2" w:hAnsi="Exo 2" w:cstheme="minorHAnsi"/>
          <w:b/>
          <w:sz w:val="36"/>
          <w:szCs w:val="36"/>
          <w:lang w:val="en-US"/>
        </w:rPr>
      </w:pPr>
      <w:r>
        <w:rPr>
          <w:rFonts w:ascii="Exo 2" w:hAnsi="Exo 2"/>
          <w:b/>
          <w:sz w:val="36"/>
          <w:szCs w:val="36"/>
        </w:rPr>
        <w:t>BELTS/MSC/PROC/MP/2024/9</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8143EA">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8143EA">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8143EA">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8143EA">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8143EA">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8143EA">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8143EA">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8143EA">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8143EA">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8143EA">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8143EA">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8143EA">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8143EA">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8143EA">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8143EA">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8143EA">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8143EA">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8143EA">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8143EA">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8143EA">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8143EA">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8143EA">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8143EA">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8143EA">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8143EA">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8143EA">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8143EA">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8143EA">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8143EA">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8143EA">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8143EA">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lastRenderedPageBreak/>
        <w:t>1</w:t>
      </w:r>
      <w:r>
        <w:rPr>
          <w:rFonts w:ascii="Exo 2" w:hAnsi="Exo 2"/>
          <w:sz w:val="20"/>
          <w:lang w:val="en-US"/>
        </w:rPr>
        <w:tab/>
      </w:r>
      <w:r w:rsidR="00901E7B" w:rsidRPr="00223433">
        <w:rPr>
          <w:rFonts w:ascii="Exo 2" w:hAnsi="Exo 2"/>
          <w:sz w:val="20"/>
          <w:lang w:val="en-US"/>
        </w:rPr>
        <w:t>INTRODUCTION</w:t>
      </w:r>
      <w:bookmarkEnd w:id="1"/>
    </w:p>
    <w:p w14:paraId="34CB8D7A" w14:textId="5006FB42"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E2402D">
        <w:rPr>
          <w:rFonts w:ascii="Exo 2" w:hAnsi="Exo 2"/>
          <w:sz w:val="20"/>
        </w:rPr>
        <w:t>n of Tenderers to submit their Tender 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w:t>
      </w:r>
      <w:r w:rsidRPr="00223433">
        <w:rPr>
          <w:rFonts w:ascii="Exo 2" w:hAnsi="Exo 2" w:cstheme="minorHAnsi"/>
          <w:sz w:val="20"/>
          <w:lang w:val="en-US"/>
        </w:rPr>
        <w:lastRenderedPageBreak/>
        <w:t>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6DB46A01"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Schedule 1 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01E8DE55"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w:t>
      </w:r>
      <w:r w:rsidR="00D0669E">
        <w:rPr>
          <w:rFonts w:ascii="Exo 2" w:hAnsi="Exo 2"/>
          <w:sz w:val="20"/>
          <w:lang w:val="en-US" w:eastAsia="ja-JP"/>
        </w:rPr>
        <w:t>, 4 and 5</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1D9D8C41"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D0669E">
        <w:rPr>
          <w:rFonts w:ascii="Exo 2" w:hAnsi="Exo 2"/>
          <w:sz w:val="20"/>
          <w:lang w:val="en-US" w:eastAsia="ja-JP"/>
        </w:rPr>
        <w:t>6, 7, 8</w:t>
      </w:r>
      <w:r w:rsidR="001A6268" w:rsidRPr="00646A7D">
        <w:rPr>
          <w:rFonts w:ascii="Exo 2" w:hAnsi="Exo 2"/>
          <w:sz w:val="20"/>
          <w:lang w:val="en-US" w:eastAsia="ja-JP"/>
        </w:rPr>
        <w:t xml:space="preserve">, </w:t>
      </w:r>
      <w:r w:rsidR="00D0669E">
        <w:rPr>
          <w:rFonts w:ascii="Exo 2" w:hAnsi="Exo 2"/>
          <w:sz w:val="20"/>
          <w:lang w:val="en-US" w:eastAsia="ja-JP"/>
        </w:rPr>
        <w:t>9 and 10</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F20CE1">
        <w:rPr>
          <w:rFonts w:ascii="Exo 2" w:hAnsi="Exo 2"/>
          <w:sz w:val="20"/>
          <w:lang w:val="en-US" w:eastAsia="ja-JP"/>
        </w:rPr>
        <w:t xml:space="preserve">One (1) sealed envelope containing </w:t>
      </w:r>
      <w:r w:rsidRPr="00F20CE1">
        <w:rPr>
          <w:rFonts w:ascii="Exo 2" w:hAnsi="Exo 2"/>
          <w:b/>
          <w:sz w:val="20"/>
          <w:lang w:val="en-US" w:eastAsia="ja-JP"/>
        </w:rPr>
        <w:t>Commercial Proposal</w:t>
      </w:r>
      <w:r w:rsidR="00E776FD" w:rsidRPr="00F20CE1">
        <w:rPr>
          <w:rFonts w:ascii="Exo 2" w:hAnsi="Exo 2"/>
          <w:sz w:val="20"/>
          <w:lang w:val="en-US" w:eastAsia="ja-JP"/>
        </w:rPr>
        <w:t xml:space="preserve"> and its soft copy in a USB pen drive</w:t>
      </w:r>
      <w:r w:rsidRPr="00F20CE1">
        <w:rPr>
          <w:rFonts w:ascii="Exo 2" w:hAnsi="Exo 2"/>
          <w:sz w:val="20"/>
          <w:lang w:val="en-US" w:eastAsia="ja-JP"/>
        </w:rPr>
        <w:t xml:space="preserve"> as described in </w:t>
      </w:r>
      <w:r w:rsidR="00D941D3" w:rsidRPr="00F20CE1">
        <w:rPr>
          <w:rFonts w:ascii="Exo 2" w:hAnsi="Exo 2"/>
          <w:b/>
          <w:sz w:val="20"/>
          <w:lang w:val="en-US" w:eastAsia="ja-JP"/>
        </w:rPr>
        <w:t>Clause 4</w:t>
      </w:r>
      <w:r w:rsidRPr="00F20CE1">
        <w:rPr>
          <w:rFonts w:ascii="Exo 2" w:hAnsi="Exo 2"/>
          <w:b/>
          <w:sz w:val="20"/>
          <w:lang w:val="en-US" w:eastAsia="ja-JP"/>
        </w:rPr>
        <w:t>.</w:t>
      </w:r>
      <w:r w:rsidR="001E368C" w:rsidRPr="00F20CE1">
        <w:rPr>
          <w:rFonts w:ascii="Exo 2" w:hAnsi="Exo 2"/>
          <w:b/>
          <w:sz w:val="20"/>
          <w:lang w:val="en-US" w:eastAsia="ja-JP"/>
        </w:rPr>
        <w:t>5</w:t>
      </w:r>
      <w:r w:rsidR="00D941D3" w:rsidRPr="00F20CE1">
        <w:rPr>
          <w:rFonts w:ascii="Exo 2" w:hAnsi="Exo 2"/>
          <w:b/>
          <w:sz w:val="20"/>
          <w:lang w:val="en-US" w:eastAsia="ja-JP"/>
        </w:rPr>
        <w:t xml:space="preserve"> and 4</w:t>
      </w:r>
      <w:r w:rsidR="00561988" w:rsidRPr="00F20CE1">
        <w:rPr>
          <w:rFonts w:ascii="Exo 2" w:hAnsi="Exo 2"/>
          <w:b/>
          <w:sz w:val="20"/>
          <w:lang w:val="en-US" w:eastAsia="ja-JP"/>
        </w:rPr>
        <w:t>.7</w:t>
      </w:r>
      <w:r w:rsidR="00E776FD" w:rsidRPr="009C5CE8">
        <w:rPr>
          <w:lang w:val="en-US" w:eastAsia="ja-JP"/>
        </w:rPr>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lastRenderedPageBreak/>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lastRenderedPageBreak/>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28D1D5DB"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9F3CFD">
        <w:rPr>
          <w:rFonts w:ascii="Exo 2" w:hAnsi="Exo 2" w:cstheme="minorHAnsi"/>
          <w:b/>
          <w:sz w:val="20"/>
          <w:szCs w:val="20"/>
        </w:rPr>
        <w:t>BELTS/MSC/PROC/MP/2024/9</w:t>
      </w:r>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8"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8"/>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9" w:name="_Toc177741817"/>
      <w:bookmarkEnd w:id="7"/>
      <w:r w:rsidRPr="00DE3B22">
        <w:rPr>
          <w:rFonts w:ascii="Exo 2" w:hAnsi="Exo 2" w:cstheme="minorHAnsi"/>
          <w:sz w:val="20"/>
        </w:rPr>
        <w:t>Validity Period</w:t>
      </w:r>
      <w:bookmarkEnd w:id="9"/>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0"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1"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1"/>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lastRenderedPageBreak/>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2" w:name="_Toc177741819"/>
      <w:r w:rsidRPr="00DE3B22">
        <w:rPr>
          <w:rFonts w:ascii="Exo 2" w:hAnsi="Exo 2" w:cstheme="minorHAnsi"/>
          <w:sz w:val="20"/>
          <w:lang w:val="en-US"/>
        </w:rPr>
        <w:t>Modification and Withdrawal of Tender Offer</w:t>
      </w:r>
      <w:bookmarkEnd w:id="12"/>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3" w:name="_Toc177741820"/>
      <w:r w:rsidRPr="00DE3B22">
        <w:rPr>
          <w:rFonts w:ascii="Exo 2" w:hAnsi="Exo 2" w:cstheme="minorHAnsi"/>
          <w:sz w:val="20"/>
        </w:rPr>
        <w:t>Tender Price</w:t>
      </w:r>
      <w:bookmarkEnd w:id="13"/>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4" w:name="_Toc177741821"/>
      <w:r w:rsidRPr="00DE3B22">
        <w:rPr>
          <w:rFonts w:ascii="Exo 2" w:hAnsi="Exo 2" w:cstheme="minorHAnsi"/>
          <w:sz w:val="20"/>
          <w:lang w:val="en-US"/>
        </w:rPr>
        <w:t>Clarification Prior to Tender Closing Date</w:t>
      </w:r>
      <w:bookmarkEnd w:id="14"/>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5" w:name="_Toc177741822"/>
      <w:r w:rsidRPr="00DE3B22">
        <w:rPr>
          <w:rFonts w:ascii="Exo 2" w:hAnsi="Exo 2" w:cstheme="minorHAnsi"/>
          <w:sz w:val="20"/>
        </w:rPr>
        <w:lastRenderedPageBreak/>
        <w:t>Compliance</w:t>
      </w:r>
      <w:r w:rsidRPr="00DE3B22">
        <w:rPr>
          <w:rFonts w:ascii="Exo 2" w:hAnsi="Exo 2" w:cstheme="minorHAnsi"/>
          <w:sz w:val="20"/>
          <w:lang w:val="en-US"/>
        </w:rPr>
        <w:t xml:space="preserve"> with Technical Requirements</w:t>
      </w:r>
      <w:bookmarkEnd w:id="15"/>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6" w:name="_Toc177741823"/>
      <w:r w:rsidRPr="00DE3B22">
        <w:rPr>
          <w:rFonts w:ascii="Exo 2" w:hAnsi="Exo 2" w:cstheme="minorHAnsi"/>
          <w:sz w:val="20"/>
        </w:rPr>
        <w:t>Sub-Contractors</w:t>
      </w:r>
      <w:bookmarkEnd w:id="16"/>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7" w:name="_Toc177741824"/>
      <w:bookmarkStart w:id="18" w:name="_Hlk39586643"/>
      <w:bookmarkEnd w:id="10"/>
      <w:r w:rsidRPr="00DE3B22">
        <w:rPr>
          <w:rFonts w:ascii="Exo 2" w:hAnsi="Exo 2" w:cstheme="minorHAnsi"/>
          <w:sz w:val="20"/>
          <w:lang w:val="en-US"/>
        </w:rPr>
        <w:t>Tender Closing Date</w:t>
      </w:r>
      <w:bookmarkEnd w:id="17"/>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01C38D47"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8522A3">
        <w:rPr>
          <w:rFonts w:ascii="Exo 2" w:hAnsi="Exo 2" w:cstheme="minorHAnsi"/>
          <w:b/>
          <w:sz w:val="20"/>
        </w:rPr>
        <w:t>Wedne</w:t>
      </w:r>
      <w:r w:rsidR="00B44628">
        <w:rPr>
          <w:rFonts w:ascii="Exo 2" w:hAnsi="Exo 2" w:cstheme="minorHAnsi"/>
          <w:b/>
          <w:sz w:val="20"/>
        </w:rPr>
        <w:t>sday</w:t>
      </w:r>
      <w:r w:rsidRPr="007B60DB">
        <w:rPr>
          <w:rFonts w:ascii="Exo 2" w:hAnsi="Exo 2" w:cstheme="minorHAnsi"/>
          <w:b/>
          <w:sz w:val="20"/>
        </w:rPr>
        <w:t xml:space="preserve">, </w:t>
      </w:r>
      <w:r w:rsidR="008522A3">
        <w:rPr>
          <w:rFonts w:ascii="Exo 2" w:hAnsi="Exo 2" w:cstheme="minorHAnsi"/>
          <w:b/>
          <w:sz w:val="20"/>
        </w:rPr>
        <w:t>6</w:t>
      </w:r>
      <w:r w:rsidR="008522A3" w:rsidRPr="008522A3">
        <w:rPr>
          <w:rFonts w:ascii="Exo 2" w:hAnsi="Exo 2" w:cstheme="minorHAnsi"/>
          <w:b/>
          <w:sz w:val="20"/>
          <w:vertAlign w:val="superscript"/>
        </w:rPr>
        <w:t>th</w:t>
      </w:r>
      <w:r w:rsidR="008522A3">
        <w:rPr>
          <w:rFonts w:ascii="Exo 2" w:hAnsi="Exo 2" w:cstheme="minorHAnsi"/>
          <w:b/>
          <w:sz w:val="20"/>
        </w:rPr>
        <w:t xml:space="preserve"> November</w:t>
      </w:r>
      <w:r w:rsidRPr="007B60DB">
        <w:rPr>
          <w:rFonts w:ascii="Exo 2" w:hAnsi="Exo 2" w:cstheme="minorHAnsi"/>
          <w:b/>
          <w:sz w:val="20"/>
        </w:rPr>
        <w:t xml:space="preserve">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8"/>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19" w:name="_Toc177741825"/>
      <w:r w:rsidRPr="00DE3B22">
        <w:rPr>
          <w:rFonts w:ascii="Exo 2" w:hAnsi="Exo 2" w:cstheme="minorHAnsi"/>
          <w:caps w:val="0"/>
          <w:sz w:val="20"/>
          <w:lang w:val="en-US"/>
        </w:rPr>
        <w:t>INVALID TENDER OFFERS AND ALTERATIONS, ERASURES OR ILLEGIBILITY</w:t>
      </w:r>
      <w:bookmarkEnd w:id="19"/>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3485CDBB"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0"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0"/>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1" w:name="_Toc177741827"/>
      <w:r w:rsidRPr="00DE3B22">
        <w:rPr>
          <w:rFonts w:ascii="Exo 2" w:hAnsi="Exo 2" w:cstheme="minorHAnsi"/>
          <w:sz w:val="20"/>
          <w:lang w:val="en-US"/>
        </w:rPr>
        <w:t>Preparation of Tender</w:t>
      </w:r>
      <w:bookmarkEnd w:id="21"/>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lastRenderedPageBreak/>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2" w:name="_Toc177741828"/>
      <w:r w:rsidRPr="00DE3B22">
        <w:rPr>
          <w:rFonts w:ascii="Exo 2" w:hAnsi="Exo 2"/>
          <w:sz w:val="20"/>
          <w:lang w:val="en-US"/>
        </w:rPr>
        <w:t>Acceptance of Tender</w:t>
      </w:r>
      <w:bookmarkEnd w:id="22"/>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3" w:name="_Toc44418904"/>
      <w:bookmarkStart w:id="24"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3"/>
      <w:bookmarkEnd w:id="24"/>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5"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5"/>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w:t>
      </w:r>
      <w:r w:rsidR="00CD7740" w:rsidRPr="00DE3B22">
        <w:rPr>
          <w:rFonts w:ascii="Exo 2" w:hAnsi="Exo 2" w:cstheme="minorHAnsi"/>
          <w:bCs/>
          <w:sz w:val="20"/>
        </w:rPr>
        <w:lastRenderedPageBreak/>
        <w:t xml:space="preserve">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6" w:name="_Toc177741831"/>
      <w:r w:rsidRPr="00DE3B22">
        <w:rPr>
          <w:rFonts w:ascii="Exo 2" w:hAnsi="Exo 2"/>
          <w:sz w:val="20"/>
        </w:rPr>
        <w:t>Confidentiality</w:t>
      </w:r>
      <w:bookmarkEnd w:id="26"/>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7" w:name="_Toc177741832"/>
      <w:r w:rsidRPr="00DE3B22">
        <w:rPr>
          <w:rFonts w:ascii="Exo 2" w:hAnsi="Exo 2" w:cstheme="minorHAnsi"/>
          <w:sz w:val="20"/>
          <w:lang w:val="en-US"/>
        </w:rPr>
        <w:t>Publicity</w:t>
      </w:r>
      <w:bookmarkEnd w:id="27"/>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3A6DD923"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8" w:name="_Toc177741833"/>
      <w:r w:rsidRPr="00DE3B22">
        <w:rPr>
          <w:rFonts w:ascii="Exo 2" w:hAnsi="Exo 2" w:cstheme="minorHAnsi"/>
          <w:sz w:val="20"/>
          <w:lang w:val="en-US"/>
        </w:rPr>
        <w:t>Intellectual Property and Ownership of Tender Documents</w:t>
      </w:r>
      <w:bookmarkEnd w:id="28"/>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29" w:name="_Toc39648957"/>
      <w:bookmarkStart w:id="30" w:name="_Toc39649036"/>
      <w:bookmarkStart w:id="31" w:name="_Toc39649087"/>
      <w:bookmarkStart w:id="32" w:name="_Toc39649121"/>
      <w:bookmarkStart w:id="33" w:name="_Toc39649155"/>
      <w:bookmarkStart w:id="34" w:name="_Toc39649189"/>
      <w:bookmarkStart w:id="35" w:name="_Toc39649225"/>
      <w:bookmarkStart w:id="36" w:name="_Toc39649259"/>
      <w:bookmarkStart w:id="37" w:name="_Toc39649293"/>
      <w:bookmarkStart w:id="38" w:name="_Toc39649335"/>
      <w:bookmarkStart w:id="39" w:name="_Toc39649369"/>
      <w:bookmarkStart w:id="40" w:name="_Toc39648958"/>
      <w:bookmarkStart w:id="41" w:name="_Toc39649037"/>
      <w:bookmarkStart w:id="42" w:name="_Toc39649088"/>
      <w:bookmarkStart w:id="43" w:name="_Toc39649122"/>
      <w:bookmarkStart w:id="44" w:name="_Toc39649156"/>
      <w:bookmarkStart w:id="45" w:name="_Toc39649190"/>
      <w:bookmarkStart w:id="46" w:name="_Toc39649226"/>
      <w:bookmarkStart w:id="47" w:name="_Toc39649260"/>
      <w:bookmarkStart w:id="48" w:name="_Toc39649294"/>
      <w:bookmarkStart w:id="49" w:name="_Toc39649336"/>
      <w:bookmarkStart w:id="50" w:name="_Toc39649370"/>
      <w:bookmarkStart w:id="51" w:name="_Toc177741834"/>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DE3B22">
        <w:rPr>
          <w:rFonts w:ascii="Exo 2" w:hAnsi="Exo 2" w:cstheme="minorHAnsi"/>
          <w:sz w:val="20"/>
          <w:lang w:val="en-US"/>
        </w:rPr>
        <w:t>Applicable Taxes</w:t>
      </w:r>
      <w:bookmarkEnd w:id="51"/>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2" w:name="_Toc177741835"/>
      <w:r w:rsidRPr="00266259">
        <w:rPr>
          <w:rFonts w:ascii="Exo 2" w:hAnsi="Exo 2" w:cstheme="minorHAnsi"/>
          <w:sz w:val="20"/>
        </w:rPr>
        <w:t>EVALUATION OF TENDER</w:t>
      </w:r>
      <w:bookmarkEnd w:id="52"/>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46FB4752"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w:t>
      </w:r>
      <w:r w:rsidR="00E2402D">
        <w:rPr>
          <w:rFonts w:ascii="Exo 2" w:eastAsia="Calibri" w:hAnsi="Exo 2"/>
          <w:sz w:val="20"/>
        </w:rPr>
        <w:t>eavour to evaluate the Tender Offers</w:t>
      </w:r>
      <w:r w:rsidRPr="00266259">
        <w:rPr>
          <w:rFonts w:ascii="Exo 2" w:eastAsia="Calibri" w:hAnsi="Exo 2"/>
          <w:sz w:val="20"/>
        </w:rPr>
        <w:t xml:space="preserve"> from Tenderers in a fair and proper process.  Tenderers must note that BELTS will award the Contract to the Tenderer whose Tender</w:t>
      </w:r>
      <w:r w:rsidR="00AE581A">
        <w:rPr>
          <w:rFonts w:ascii="Exo 2" w:eastAsia="Calibri" w:hAnsi="Exo 2"/>
          <w:sz w:val="20"/>
        </w:rPr>
        <w:t xml:space="preserve"> Offer</w:t>
      </w:r>
      <w:r w:rsidRPr="00266259">
        <w:rPr>
          <w:rFonts w:ascii="Exo 2" w:eastAsia="Calibri" w:hAnsi="Exo 2"/>
          <w:sz w:val="20"/>
        </w:rPr>
        <w:t xml:space="preserve"> represents the best value for money to BELTS.  Price is considered in conjunction with technical conformance.</w:t>
      </w:r>
    </w:p>
    <w:p w14:paraId="6DE3F70C" w14:textId="304DCDC2"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 xml:space="preserve">The Tender </w:t>
      </w:r>
      <w:r w:rsidR="00AE581A">
        <w:rPr>
          <w:rFonts w:ascii="Exo 2" w:eastAsia="Calibri" w:hAnsi="Exo 2"/>
          <w:sz w:val="20"/>
        </w:rPr>
        <w:t>Offer</w:t>
      </w:r>
      <w:r w:rsidRPr="00266259">
        <w:rPr>
          <w:rFonts w:ascii="Exo 2" w:eastAsia="Calibri" w:hAnsi="Exo 2"/>
          <w:sz w:val="20"/>
        </w:rPr>
        <w:t xml:space="preserve">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61BB2E9C" w14:textId="77777777" w:rsidR="00E2402D" w:rsidRPr="00E2402D" w:rsidRDefault="00E2402D" w:rsidP="00E2402D">
      <w:pPr>
        <w:pStyle w:val="Level3-body"/>
        <w:numPr>
          <w:ilvl w:val="2"/>
          <w:numId w:val="9"/>
        </w:numPr>
        <w:ind w:left="1530" w:hanging="810"/>
        <w:rPr>
          <w:rFonts w:ascii="Exo 2" w:hAnsi="Exo 2"/>
          <w:sz w:val="20"/>
        </w:rPr>
      </w:pPr>
      <w:r w:rsidRPr="00E2402D">
        <w:rPr>
          <w:rFonts w:ascii="Exo 2" w:eastAsia="Calibri" w:hAnsi="Exo 2"/>
          <w:sz w:val="20"/>
        </w:rPr>
        <w:t>The assessment of the Tenderer’s Tender Offer shall be based collectively on the documents submitted, written request for clarification requests from BELTS and/or any clarification meetings conducted as part of the evaluation process.  The due evaluation process is carried out in an effort to maintain a fair comparison and evaluation of the Tender Offers 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9CA6BE1"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 xml:space="preserve">BELTS reserves the </w:t>
      </w:r>
      <w:r w:rsidR="009F3CFD">
        <w:rPr>
          <w:rFonts w:ascii="Exo 2" w:hAnsi="Exo 2" w:cstheme="minorHAnsi"/>
          <w:sz w:val="20"/>
          <w:lang w:val="en-US"/>
        </w:rPr>
        <w:t xml:space="preserve">right to shortlist Tenderers </w:t>
      </w:r>
      <w:bookmarkStart w:id="53" w:name="_GoBack"/>
      <w:bookmarkEnd w:id="53"/>
      <w:r w:rsidRPr="00266259">
        <w:rPr>
          <w:rFonts w:ascii="Exo 2" w:hAnsi="Exo 2" w:cstheme="minorHAnsi"/>
          <w:sz w:val="20"/>
          <w:lang w:val="en-US"/>
        </w:rPr>
        <w:t>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lastRenderedPageBreak/>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lastRenderedPageBreak/>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F20CE1">
      <w:pPr>
        <w:pStyle w:val="MFLevel2"/>
        <w:numPr>
          <w:ilvl w:val="1"/>
          <w:numId w:val="9"/>
        </w:numPr>
        <w:spacing w:before="0" w:after="0" w:line="240" w:lineRule="auto"/>
        <w:ind w:left="810" w:hanging="81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D318A6">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4D52DF" w14:textId="77777777" w:rsidR="008143EA" w:rsidRDefault="008143EA">
      <w:pPr>
        <w:spacing w:after="0"/>
      </w:pPr>
      <w:r>
        <w:separator/>
      </w:r>
    </w:p>
  </w:endnote>
  <w:endnote w:type="continuationSeparator" w:id="0">
    <w:p w14:paraId="2CC4DE65" w14:textId="77777777" w:rsidR="008143EA" w:rsidRDefault="008143EA">
      <w:pPr>
        <w:spacing w:after="0"/>
      </w:pPr>
      <w:r>
        <w:continuationSeparator/>
      </w:r>
    </w:p>
  </w:endnote>
  <w:endnote w:type="continuationNotice" w:id="1">
    <w:p w14:paraId="3A93DF71" w14:textId="77777777" w:rsidR="008143EA" w:rsidRDefault="008143E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9F3CFD">
      <w:rPr>
        <w:rFonts w:ascii="Exo 2" w:hAnsi="Exo 2"/>
        <w:noProof/>
        <w:sz w:val="18"/>
        <w:szCs w:val="18"/>
      </w:rPr>
      <w:t>2</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9F3CFD">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13531" w14:textId="77777777" w:rsidR="008143EA" w:rsidRDefault="008143EA">
      <w:pPr>
        <w:spacing w:after="0"/>
      </w:pPr>
      <w:r>
        <w:separator/>
      </w:r>
    </w:p>
  </w:footnote>
  <w:footnote w:type="continuationSeparator" w:id="0">
    <w:p w14:paraId="2F35A2A6" w14:textId="77777777" w:rsidR="008143EA" w:rsidRDefault="008143EA">
      <w:pPr>
        <w:spacing w:after="0"/>
      </w:pPr>
      <w:r>
        <w:continuationSeparator/>
      </w:r>
    </w:p>
  </w:footnote>
  <w:footnote w:type="continuationNotice" w:id="1">
    <w:p w14:paraId="19AE9A64" w14:textId="77777777" w:rsidR="008143EA" w:rsidRDefault="008143E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226CCA8E"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Pr>
        <w:rFonts w:ascii="Exo 2" w:hAnsi="Exo 2"/>
        <w:sz w:val="18"/>
        <w:szCs w:val="18"/>
      </w:rPr>
      <w:t xml:space="preserve">der </w:t>
    </w:r>
    <w:r w:rsidR="00F20CE1">
      <w:rPr>
        <w:rFonts w:ascii="Exo 2" w:hAnsi="Exo 2"/>
        <w:sz w:val="18"/>
        <w:szCs w:val="18"/>
      </w:rPr>
      <w:t>Batch</w:t>
    </w:r>
    <w:r w:rsidR="009F3CFD">
      <w:rPr>
        <w:rFonts w:ascii="Exo 2" w:hAnsi="Exo 2"/>
        <w:sz w:val="18"/>
        <w:szCs w:val="18"/>
      </w:rPr>
      <w:t>: BELTS/MSC/PROC/MP/2024/9</w:t>
    </w:r>
  </w:p>
  <w:p w14:paraId="2E0ACB17" w14:textId="2A6C57D4" w:rsidR="007B0094" w:rsidRPr="00F31E3C" w:rsidRDefault="00F20CE1" w:rsidP="00F20CE1">
    <w:pPr>
      <w:pBdr>
        <w:bottom w:val="single" w:sz="4" w:space="1" w:color="auto"/>
      </w:pBdr>
      <w:ind w:left="1980" w:hanging="1170"/>
      <w:rPr>
        <w:b/>
        <w:sz w:val="18"/>
        <w:szCs w:val="18"/>
      </w:rPr>
    </w:pPr>
    <w:r>
      <w:rPr>
        <w:rFonts w:ascii="Exo 2" w:hAnsi="Exo 2"/>
        <w:sz w:val="18"/>
        <w:szCs w:val="18"/>
      </w:rPr>
      <w:t xml:space="preserve">Tender </w:t>
    </w:r>
    <w:r w:rsidR="007B0094">
      <w:rPr>
        <w:rFonts w:ascii="Exo 2" w:hAnsi="Exo 2"/>
        <w:sz w:val="18"/>
        <w:szCs w:val="18"/>
      </w:rPr>
      <w:t>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3A2DDD92"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9F3CFD">
      <w:rPr>
        <w:rFonts w:ascii="Exo 2" w:hAnsi="Exo 2"/>
        <w:sz w:val="18"/>
        <w:szCs w:val="18"/>
      </w:rPr>
      <w:t xml:space="preserve"> Batch: BELTS/MSC/PROC/MP/2024/9</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75BE605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991"/>
    <w:rsid w:val="00001A94"/>
    <w:rsid w:val="0000200F"/>
    <w:rsid w:val="00006CED"/>
    <w:rsid w:val="00007E12"/>
    <w:rsid w:val="0001346F"/>
    <w:rsid w:val="00017D09"/>
    <w:rsid w:val="00020722"/>
    <w:rsid w:val="00023099"/>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1D6E"/>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1FC8"/>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2683"/>
    <w:rsid w:val="003A3C27"/>
    <w:rsid w:val="003A5492"/>
    <w:rsid w:val="003A73A3"/>
    <w:rsid w:val="003B43F5"/>
    <w:rsid w:val="003B7FDE"/>
    <w:rsid w:val="003C2C93"/>
    <w:rsid w:val="003C4F42"/>
    <w:rsid w:val="003C6D90"/>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2577"/>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4016"/>
    <w:rsid w:val="00745E21"/>
    <w:rsid w:val="00747FD4"/>
    <w:rsid w:val="00747FDB"/>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43EA"/>
    <w:rsid w:val="0081748D"/>
    <w:rsid w:val="00820A26"/>
    <w:rsid w:val="00822A9E"/>
    <w:rsid w:val="00825A9B"/>
    <w:rsid w:val="0084043A"/>
    <w:rsid w:val="0084168F"/>
    <w:rsid w:val="00845736"/>
    <w:rsid w:val="0085045E"/>
    <w:rsid w:val="008522A3"/>
    <w:rsid w:val="00852F99"/>
    <w:rsid w:val="008538F3"/>
    <w:rsid w:val="00853D50"/>
    <w:rsid w:val="00870A22"/>
    <w:rsid w:val="00872B56"/>
    <w:rsid w:val="00872CD5"/>
    <w:rsid w:val="00877055"/>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3CFD"/>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5ACF"/>
    <w:rsid w:val="00A964E8"/>
    <w:rsid w:val="00A96D52"/>
    <w:rsid w:val="00AB23ED"/>
    <w:rsid w:val="00AB52EF"/>
    <w:rsid w:val="00AC18A9"/>
    <w:rsid w:val="00AC2FC4"/>
    <w:rsid w:val="00AC323A"/>
    <w:rsid w:val="00AC5EE6"/>
    <w:rsid w:val="00AD0915"/>
    <w:rsid w:val="00AD682F"/>
    <w:rsid w:val="00AE3F10"/>
    <w:rsid w:val="00AE581A"/>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2C8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402D"/>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0CE1"/>
    <w:rsid w:val="00F224A2"/>
    <w:rsid w:val="00F22E72"/>
    <w:rsid w:val="00F23B0A"/>
    <w:rsid w:val="00F24286"/>
    <w:rsid w:val="00F2572A"/>
    <w:rsid w:val="00F26F92"/>
    <w:rsid w:val="00F27C6C"/>
    <w:rsid w:val="00F27E54"/>
    <w:rsid w:val="00F31E3C"/>
    <w:rsid w:val="00F37AA5"/>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386426-6425-40FD-8C20-7DEC44932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Pages>
  <Words>5003</Words>
  <Characters>28519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33</cp:revision>
  <cp:lastPrinted>2021-07-05T03:23:00Z</cp:lastPrinted>
  <dcterms:created xsi:type="dcterms:W3CDTF">2024-09-17T07:16:00Z</dcterms:created>
  <dcterms:modified xsi:type="dcterms:W3CDTF">2024-10-05T14:16:00Z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