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proofErr w:type="gramStart"/>
      <w:r w:rsidRPr="002902AB">
        <w:rPr>
          <w:rFonts w:ascii="Exo 2" w:hAnsi="Exo 2" w:cstheme="minorHAnsi"/>
          <w:b/>
          <w:szCs w:val="22"/>
        </w:rPr>
        <w:t>and</w:t>
      </w:r>
      <w:proofErr w:type="gramEnd"/>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proofErr w:type="gramStart"/>
      <w:r w:rsidRPr="002902AB">
        <w:rPr>
          <w:rFonts w:ascii="Exo 2" w:hAnsi="Exo 2" w:cstheme="minorHAnsi"/>
          <w:b/>
          <w:szCs w:val="22"/>
        </w:rPr>
        <w:t>for</w:t>
      </w:r>
      <w:proofErr w:type="gramEnd"/>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03262C5B"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6120E8">
        <w:rPr>
          <w:rFonts w:ascii="Exo 2" w:hAnsi="Exo 2" w:cstheme="minorHAnsi"/>
          <w:b/>
          <w:szCs w:val="22"/>
        </w:rPr>
        <w:t>BELTS/MSC/PROC/MP/2024/15</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w:t>
      </w:r>
      <w:proofErr w:type="gramStart"/>
      <w:r w:rsidRPr="002902AB">
        <w:rPr>
          <w:rFonts w:ascii="Exo 2" w:hAnsi="Exo 2" w:cstheme="minorHAnsi"/>
          <w:lang w:val="en-GB"/>
        </w:rPr>
        <w:t>collectively</w:t>
      </w:r>
      <w:proofErr w:type="gramEnd"/>
      <w:r w:rsidRPr="002902AB">
        <w:rPr>
          <w:rFonts w:ascii="Exo 2" w:hAnsi="Exo 2" w:cstheme="minorHAnsi"/>
          <w:lang w:val="en-GB"/>
        </w:rPr>
        <w:t>,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74D463BF"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00397DDC">
        <w:rPr>
          <w:rFonts w:ascii="Exo 2" w:hAnsi="Exo 2" w:cstheme="minorBidi"/>
        </w:rPr>
        <w:t xml:space="preserve"> (Tender 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r>
      <w:proofErr w:type="gramStart"/>
      <w:r w:rsidRPr="002902AB">
        <w:rPr>
          <w:rFonts w:ascii="Exo 2" w:hAnsi="Exo 2" w:cstheme="minorHAnsi"/>
          <w:szCs w:val="22"/>
        </w:rPr>
        <w:t>any</w:t>
      </w:r>
      <w:proofErr w:type="gramEnd"/>
      <w:r w:rsidRPr="002902AB">
        <w:rPr>
          <w:rFonts w:ascii="Exo 2" w:hAnsi="Exo 2" w:cstheme="minorHAnsi"/>
          <w:szCs w:val="22"/>
        </w:rPr>
        <w:t xml:space="preserve">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proofErr w:type="gramStart"/>
      <w:r w:rsidRPr="002902AB">
        <w:rPr>
          <w:rFonts w:ascii="Exo 2" w:eastAsiaTheme="minorEastAsia" w:hAnsi="Exo 2" w:cstheme="minorBidi"/>
          <w:sz w:val="22"/>
          <w:szCs w:val="22"/>
        </w:rPr>
        <w:t>that</w:t>
      </w:r>
      <w:proofErr w:type="gramEnd"/>
      <w:r w:rsidRPr="002902AB">
        <w:rPr>
          <w:rFonts w:ascii="Exo 2" w:eastAsiaTheme="minorEastAsia" w:hAnsi="Exo 2" w:cstheme="minorBidi"/>
          <w:sz w:val="22"/>
          <w:szCs w:val="22"/>
        </w:rPr>
        <w:t xml:space="preserve">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any</w:t>
      </w:r>
      <w:proofErr w:type="gramEnd"/>
      <w:r w:rsidRPr="002902AB">
        <w:rPr>
          <w:rFonts w:ascii="Exo 2" w:hAnsi="Exo 2" w:cstheme="minorBidi"/>
          <w:b w:val="0"/>
        </w:rPr>
        <w:t xml:space="preserve">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proofErr w:type="gramStart"/>
      <w:r w:rsidRPr="002902AB">
        <w:rPr>
          <w:rFonts w:ascii="Exo 2" w:hAnsi="Exo 2" w:cstheme="minorBidi"/>
          <w:b w:val="0"/>
        </w:rPr>
        <w:t>any</w:t>
      </w:r>
      <w:proofErr w:type="gramEnd"/>
      <w:r w:rsidRPr="002902AB">
        <w:rPr>
          <w:rFonts w:ascii="Exo 2" w:hAnsi="Exo 2" w:cstheme="minorBidi"/>
          <w:b w:val="0"/>
        </w:rPr>
        <w:t xml:space="preserve">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proofErr w:type="gramStart"/>
      <w:r w:rsidRPr="002902AB">
        <w:rPr>
          <w:rFonts w:ascii="Exo 2" w:hAnsi="Exo 2"/>
          <w:szCs w:val="22"/>
        </w:rPr>
        <w:t>i</w:t>
      </w:r>
      <w:r w:rsidR="79753BB3" w:rsidRPr="002902AB">
        <w:rPr>
          <w:rFonts w:ascii="Exo 2" w:hAnsi="Exo 2"/>
          <w:szCs w:val="22"/>
        </w:rPr>
        <w:t>nform</w:t>
      </w:r>
      <w:proofErr w:type="gramEnd"/>
      <w:r w:rsidR="79753BB3" w:rsidRPr="002902AB">
        <w:rPr>
          <w:rFonts w:ascii="Exo 2" w:hAnsi="Exo 2"/>
          <w:szCs w:val="22"/>
        </w:rPr>
        <w:t xml:space="preserve">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proofErr w:type="gramStart"/>
      <w:r w:rsidRPr="002902AB">
        <w:rPr>
          <w:rFonts w:ascii="Exo 2" w:hAnsi="Exo 2" w:cstheme="minorBidi"/>
          <w:szCs w:val="22"/>
        </w:rPr>
        <w:t>t</w:t>
      </w:r>
      <w:r w:rsidR="5D0FAC85" w:rsidRPr="002902AB">
        <w:rPr>
          <w:rFonts w:ascii="Exo 2" w:hAnsi="Exo 2" w:cstheme="minorBidi"/>
          <w:szCs w:val="22"/>
        </w:rPr>
        <w:t>he</w:t>
      </w:r>
      <w:proofErr w:type="gramEnd"/>
      <w:r w:rsidR="5D0FAC85" w:rsidRPr="002902AB">
        <w:rPr>
          <w:rFonts w:ascii="Exo 2" w:hAnsi="Exo 2" w:cstheme="minorBidi"/>
          <w:szCs w:val="22"/>
        </w:rPr>
        <w:t xml:space="preserv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proofErr w:type="gramStart"/>
      <w:r w:rsidRPr="002902AB">
        <w:rPr>
          <w:rFonts w:ascii="Exo 2" w:hAnsi="Exo 2" w:cstheme="minorBidi"/>
          <w:sz w:val="22"/>
          <w:szCs w:val="22"/>
        </w:rPr>
        <w:t>comply</w:t>
      </w:r>
      <w:proofErr w:type="gramEnd"/>
      <w:r w:rsidRPr="002902AB">
        <w:rPr>
          <w:rFonts w:ascii="Exo 2" w:hAnsi="Exo 2" w:cstheme="minorBidi"/>
          <w:sz w:val="22"/>
          <w:szCs w:val="22"/>
        </w:rPr>
        <w:t xml:space="preserve">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proofErr w:type="gramStart"/>
      <w:r w:rsidR="008B2A14" w:rsidRPr="002902AB">
        <w:rPr>
          <w:rFonts w:ascii="Exo 2" w:hAnsi="Exo 2" w:cstheme="minorHAnsi"/>
          <w:sz w:val="22"/>
          <w:szCs w:val="22"/>
        </w:rPr>
        <w:t>where</w:t>
      </w:r>
      <w:proofErr w:type="gramEnd"/>
      <w:r w:rsidR="008B2A14" w:rsidRPr="002902AB">
        <w:rPr>
          <w:rFonts w:ascii="Exo 2" w:hAnsi="Exo 2" w:cstheme="minorHAnsi"/>
          <w:sz w:val="22"/>
          <w:szCs w:val="22"/>
        </w:rPr>
        <w:t xml:space="preserv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proofErr w:type="spellStart"/>
      <w:r w:rsidR="369E13D8" w:rsidRPr="002902AB">
        <w:rPr>
          <w:rFonts w:ascii="Exo 2" w:hAnsi="Exo 2" w:cstheme="minorBidi"/>
          <w:sz w:val="22"/>
          <w:szCs w:val="22"/>
        </w:rPr>
        <w:t>complied</w:t>
      </w:r>
      <w:bookmarkEnd w:id="7"/>
      <w:proofErr w:type="spellEnd"/>
      <w:r w:rsidR="369E13D8" w:rsidRPr="002902AB">
        <w:rPr>
          <w:rFonts w:ascii="Exo 2" w:hAnsi="Exo 2" w:cstheme="minorBidi"/>
          <w:sz w:val="22"/>
          <w:szCs w:val="22"/>
        </w:rPr>
        <w:t xml:space="preserve"> </w:t>
      </w:r>
      <w:proofErr w:type="gramStart"/>
      <w:r w:rsidR="7639145C" w:rsidRPr="002902AB">
        <w:rPr>
          <w:rFonts w:ascii="Exo 2" w:hAnsi="Exo 2" w:cstheme="minorBidi"/>
          <w:sz w:val="22"/>
          <w:szCs w:val="22"/>
        </w:rPr>
        <w:t>to</w:t>
      </w:r>
      <w:proofErr w:type="gramEnd"/>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generic</w:t>
      </w:r>
      <w:proofErr w:type="gramEnd"/>
      <w:r w:rsidRPr="002902AB">
        <w:rPr>
          <w:rFonts w:ascii="Exo 2" w:hAnsi="Exo 2" w:cstheme="minorBidi"/>
          <w:b w:val="0"/>
        </w:rPr>
        <w:t xml:space="preserve">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shelf-life</w:t>
      </w:r>
      <w:proofErr w:type="gramEnd"/>
      <w:r w:rsidRPr="002902AB">
        <w:rPr>
          <w:rFonts w:ascii="Exo 2" w:hAnsi="Exo 2" w:cstheme="minorBidi"/>
          <w:b w:val="0"/>
        </w:rPr>
        <w:t xml:space="preserve"> and expiry date;</w:t>
      </w:r>
    </w:p>
    <w:p w14:paraId="1873194C" w14:textId="450D4FA6"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batch</w:t>
      </w:r>
      <w:proofErr w:type="gramEnd"/>
      <w:r w:rsidRPr="002902AB">
        <w:rPr>
          <w:rFonts w:ascii="Exo 2" w:hAnsi="Exo 2" w:cstheme="minorBidi"/>
          <w:b w:val="0"/>
        </w:rPr>
        <w:t xml:space="preserve">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any remaining 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Where it is agreed that the Goods 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’s estimate of the efforts which would be required to implement any 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5B55E250" w:rsidR="00240648" w:rsidRPr="003454D8" w:rsidRDefault="00240648" w:rsidP="00397DDC">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397DDC">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Ensure no back orders or delayed deliveries are made, unless BELTS have been informed on any delay expected in delivering the Goods on time pursuant to the Expected Delivery Date specified in the 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F84FC" w14:textId="77777777" w:rsidR="009C5D93" w:rsidRDefault="009C5D93" w:rsidP="003E41C5">
      <w:pPr>
        <w:spacing w:after="0" w:line="240" w:lineRule="auto"/>
      </w:pPr>
      <w:r>
        <w:separator/>
      </w:r>
    </w:p>
  </w:endnote>
  <w:endnote w:type="continuationSeparator" w:id="0">
    <w:p w14:paraId="5F8EFD9D" w14:textId="77777777" w:rsidR="009C5D93" w:rsidRDefault="009C5D93" w:rsidP="003E41C5">
      <w:pPr>
        <w:spacing w:after="0" w:line="240" w:lineRule="auto"/>
      </w:pPr>
      <w:r>
        <w:continuationSeparator/>
      </w:r>
    </w:p>
  </w:endnote>
  <w:endnote w:type="continuationNotice" w:id="1">
    <w:p w14:paraId="3DAF45A1" w14:textId="77777777" w:rsidR="009C5D93" w:rsidRDefault="009C5D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6120E8">
          <w:rPr>
            <w:noProof/>
          </w:rPr>
          <w:t>21</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FBC70" w14:textId="77777777" w:rsidR="009C5D93" w:rsidRDefault="009C5D93" w:rsidP="003E41C5">
      <w:pPr>
        <w:spacing w:after="0" w:line="240" w:lineRule="auto"/>
      </w:pPr>
      <w:r>
        <w:separator/>
      </w:r>
    </w:p>
  </w:footnote>
  <w:footnote w:type="continuationSeparator" w:id="0">
    <w:p w14:paraId="63355709" w14:textId="77777777" w:rsidR="009C5D93" w:rsidRDefault="009C5D93" w:rsidP="003E41C5">
      <w:pPr>
        <w:spacing w:after="0" w:line="240" w:lineRule="auto"/>
      </w:pPr>
      <w:r>
        <w:continuationSeparator/>
      </w:r>
    </w:p>
  </w:footnote>
  <w:footnote w:type="continuationNotice" w:id="1">
    <w:p w14:paraId="3A101809" w14:textId="77777777" w:rsidR="009C5D93" w:rsidRDefault="009C5D9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97DDC"/>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1B8D"/>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0E8"/>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3"/>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403A9F-BE13-4D73-B4BD-8DCC1484A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44</Pages>
  <Words>14930</Words>
  <Characters>85105</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13</cp:revision>
  <cp:lastPrinted>2024-09-17T09:14:00Z</cp:lastPrinted>
  <dcterms:created xsi:type="dcterms:W3CDTF">2024-08-15T08:32:00Z</dcterms:created>
  <dcterms:modified xsi:type="dcterms:W3CDTF">2024-10-16T07:39:00Z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